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Genevan Confession was credited to John Calvin in 1536 by Beza who said Calvin wrote it as a formula of Christian doctrine suited to the church at Geneva. More recent scholarship attributes it to William Farel but in all likelihood Calvin did have considerable influence on the document. Indeed the records of the Senate at Geneva indicate that the confession was presented by both Farel and Calvin to the magistrates who received it and set it aside for more detailed examination.</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Confession of Faith which all the citizens and inhabitants of Geneva and the subjects of the country must promise to keep and hold.</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(1536)</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From: The Library of Christian Classics; Volume XXII; Calvin Theological Treatises; Translated with Introductions and Notes by the Rev. J. K. S. Reid; The Westminster Press: 1954. Pages 26-33.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 The Word of God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First we affirm that we desire to follow Scripture alone as rule of faith and religion, without mixing with it any other thing which might be devised by the opinion of men apart from the Word of God, and without wishing to accept for our spiritual government any other doctrine than what is conveyed to us by the same Word without addition or diminution, acccording to the command of our Lord.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II. One Only God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Following, then, the lines laid down in the Holy Scriptures, we acknowledge that there is one only God, whom we are both to worship and serve, and in whom we are to put all our confidence and hope: having this assurance, that in him alone is contained all wisdom, power, justice, goodness and pity. And since he is spirit, he is to be served in spirit and in truth. Therefore we think it an abomination to put our confidence or hope in any created thing, to worship anything else than him, whether angels or any other creatures, an to recognize any other Saviour of our souls than him alone, whether saints or men living upon earth; and likewise to offer the service, which ought to be rendered to him, in external ceremonies or carnal observances, as if he took pleasure in such things, or to make an image to represent his divinity or any other image for adoration.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III. The Law of God Alike for All</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Because there is one only Lord and Master who has dominion over our consciences, and because his will is the only principle of all justice, we confess all our life ought to be ruled in accordance with the commandments of his holy law in which is contained all perfection of justice, and that we ought to have no other rule of good and just living, nor invent other good works to supplement it than those which are there contained as follows: Exodus 20: "I am the Lord thy God, who brought thee," and so on.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IV. Natural Man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We acknowledge man by nature to be blind, darkened in understanding, and full of corruption and perversity of heart, so that of himself he has no power to be able to comprehend the true knowledge of God as is proper, nor to apply himself to good works. But on the contrary, if he is left by God to what he is by nature, he is only able to live in ignorance and to be abandoned to all iniquity. Hence he has need to be illumined by Fod, so that he come to the right knowledge of his salvation, and thus to be redirected in his affections and reformed to the obedience of the righteousness of God.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V. Man by Himself Lost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Since man is naturally (as has been said) deprived and destitute in himself of all the light of God, and of all righteousness, we acknowledge that by himself he can only expect the wrath and malediction of God, and hence he must look outside himself for the means of his salvation.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VI. Salvation in Jesus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We confess then that it is Jesus Christ who is given to us by the Father, in order that in him we should recover all of which in ourselves we are deficient. Now all that Jesus Christ has done and suffered for our redemption, we veritably hold without any doubt, as it is contained in the Creed, which is recited in the Church, that is to say: I believe in God the Father Almighty, and so 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VII. Righteousness in Jesus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Therefore we acknowledge the things which are consequently given to us by God in Jesus Christ: first, that being in our own nature enemies of God and subjects of his wrath and judgment, we are reconciled with him and received again in grace through the intercession of Jesus Christ, so that by his righteousness and guiltlessness we have remission of our sins, and by the shedding of his blood we are cleanse and purified from all our stains.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VIII. Regeneration in Jesus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Second, we acknowledge that by his Spirit we are regenerated into a new spiritual nature. That is to say that the evil desires of our flesh are mortified by grace, so that they rule us no longer. On the contrary, our will is redered conformable to God's will, to follow in his way and to seek what is pleasing to him. Therefore we are by him delivered from the servitude of sin, under whose power we were of ourselves held captive, and by this deliverance we are made capable and able to do good works and not otherwise.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IX. Remission of Sins Always Necessary for the Faithful</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Finally, we acknowledge that this regeneration is so effected in us that, until we slough off this mortal body, there remains always in us much imperfection and infirmity, so that we always remain poor and wretched sinners in the presence of God. And, however much we ought day by day to increase and grow in God's righteousness, there will never be plenitude or perfection while we live here. Thus we always have need of the mercy of God to obtain the remission of our faults and offences. And so we ought always to look for our righteousness in Jesus Christ and not at all in ourselves, and in him be confident and assured, putting no faith in our works.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X. All our Good in the Grace of God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order that all glory and praise be rendered to God (as is his due), and that we be able to have true peace and rest of conscience, we understand and confess that we receive all benefits from God, as said above, by his clemency and pity, without any consideration of our worthiness or the merit of our works, to which is due no other retribution than eternal confusion. None the less our Saviour in his goodness, having received us into the communion of his son Jesus, regards the works that we have done in faith as pleasing and agreeable; not that they merit it at all, but because, not imputing any of the imperfection that is there, he acknowledges in them nothing but what proceeds from his Spirit.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XI. Faith</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We confess that the entrance which we have to the great treasures and riches of the goodness of God that is vouchsafed to us is by faith; inasmuch as, in certain confidence and assurance of heart, we believe in the promises of the Gospel, and receive Jesus Christ as he is offered to us by the Father and described to us by the Word of God.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XII. Invocation of God Only and Intercession of Christ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As we have declared that we have confidence and hope for salvation and all good only in God through Jesus Christ, so we confess that we ought to invoke him in all necessities in the name of Jesus Christ, who is our Mediator and Advocate with him and has access to him. Likewise we ought to acknowledge that all good things come from him alone, and to give thanks to him for them. On the other hand, we reject the intercession of the saints as  as a superstition invented by men contrary to Scripture, for the reason that it proceeds from mistrust of the sufficiency of the intercession of Jesus Christ.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XIII. Prayer Intelligible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Moreover since prayer is nothing but hypocrisy and fantasy unless it proceed from the interior affections of the heart, we believe that all prayers ought to be made with clear understanding. And for this reason, we hold the prayer of our Lord to show fittingly what we ought to ask of him: Our Father which art in heaven, . . . but deliver us from evil. Amen.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XIV. Sacraments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We believe that the sacraments which our Lord has ordained in his Church are to be regarded as excercises of faith for us, both for fortifying and confirming it in the promises of God and for witnessing before men. Of them there are in the Christian Church only two which are instituted by the authority of our Saviour: Baptism and the Supper of our Lord; for what is held within the realm of the pope concerning seven sacraments, we condemn as fable and lie.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XV. Baptism</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Baptism is an external sign by which our Lord testifies that he desires to receive us for his children, as members of his Son Jesus. Hence in it there is represented to us the cleansing from sin which we have in the blood of Jesus Christ, the mortification of our flesh which we have by his death that we may live in him by his Spirit. Now since our children belong to such an alliance with our Lord, we are certain that the external sign is rightly applied to them.</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XVI. The Holy Supper</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Supper of our Lord is a sign by which under bread and wine he represents the true spiritual communion which we have in his body and blood. And we acknowledge that according to his ordinance it ought to be distributed in the company of the faithful, in order that all those who wish to have Jesus for their life be partakers of it. In as much as the mass of the pope was a reprobate and diabolical ordinance subverting the mystery of the Holy Supper, we declare that it is execrable to us, an idolatry condemned by God; for so much is it itself regarded as a sacrifice for the redemption of souls that the bread is in it taken and adored by God. Besides there are other execrable blasphemies and superstitions implied here, and the abuse of the Word of God which is taken in vain without profit or edification.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XVII. Human Traditions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ordinances that are necessary for the internal dsicipline of the Church, and belong solely to the maintenance of peace, honesty and good order in the assembly of Christians, we do not hold to be human traditions at all, in as much as they are composed under the general command of Paul, where he desires that all be done among them decently and in order. But all laws and regulations made binding on conscience which oblige the faithful to things not commanded by God, or establish another service of God than that which he demands, thus tending to destroy Christian liberty, we condemn as perverse doctrines of Satan, in view of our Lord's declaration that he is honored in vain by doctrines that are the commandment of men. It is in this estimation that we hold pilgrimages, monasteries, distinctions of foods, prohibition of marriage, confessions and other like things.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XVIII. The Church</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While there is one only Church of Jesus Christ, we always acknowledge that necessity requires companies of the faithful to be distributed in different places. Of these assemblies each one is called the Church. But in as much as all companies do not assemble in the name of our Lord, but rather to blaspheme and pollute him by their sacrilegious deeds, we believe that the proper mark by which we rightly discern the Church of Jesus Christ is that his holy gospel be purely and faithfully preached, proclaimed, heard, and kept, that his sacrament be properly adminisered, even if there be some imperfections and faults, as there always will be among men. On the other hand, where the Gospel is not declared, heard, and recieved, there we do not acknowledge the form of the Church. Hence the churches governed by the ordinances of the pope are rather synagogues of the devil than Christian churches.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XIX. Excommunication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Because there are always some who hold God and his Word in contempt, who take account of neither injunction, exhortation nor remonstrance, thus requiring greater chastisement, we hold the discipline of excommunication to be a thing holy and salutary among the faithful, since truly it was instituted by our Lord with good reason. This is in order that the wicked would not by their damnable conduct corrupt the good and dishonor our Lord, and that though proud they may turn to penitence. Therefore we believe that it is expedient according to the ordinance of God that all manifest idolaters, blasphemers, murderers, thieves, lewd persons, false witnesses, sedition-mongers, quarrellers, those guilty of defamation or assault, drukards, dissolute livers, when they have been duly admonished and if they do not make amendment, be separated from the communion of the faithful until their repentance is known.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XX. Ministers of the Word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We recognize no other pastors in the Church than faithful pastors of the Word of God, feeding the sheep of Jesus Christ on the one hand with instruction, admonition, consolation, exhortation, deprecation; and on the other resisting all false doctrines and deceptions of the devil, without mixing with the pure doctrines of the Scriptures their dreams or their foolish imaginings. To these we accord no other power or authority but to conduct, rule, and govern the people of God committed to them by the same Word, in which they have the power to command, defend, promise, and warn, and without which they neither can nor ought to attempt anything. As we receive the true ministers of the Word of God as messengers and ambassadors of God, it is necessary to listen to them as to him himself, and we hold their ministry to be a commission from God necessary in the Church. On the other hand we hold that all seductive and false prophets, who abandon the purity of the Gospel and deviate to their own inventions, ought not at all to be suffered or maintained, who are not the pastors they pretend, but rather, like ravening wolves, ought to be hunted and ejected from the people of God.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XXI. Magistrates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We hold the supremacy and dominion of kings and princes as also of other magistrates and officers, to be a holy thing and a good ordinance of God. And since in performing their office they serve God and follow a Christian vocation, whether in defending the afflicted and innocent, or in correcting and punishing the malice of the perverse, we on our part also ought to accord them honour and reverence, to render respect and subservience, to execute their commands, to bear the charges they impose on us, so far as we are able without offence to God. In sum, we ought to regard them as vicars and lieutenants of God, whom one cannot resist without resisting God himself; and their office as a sacred commission from God which has been given them so that they may rule and govern us. Hence we hold that all Christians are bound to pray God for the prosperity of the superiors and lords of the country where they live, to obey the statutes and ordinances which do not contravene the commandments of God, to promote the welfare, peace and public good, endeavouring to sustain the honour of those over them and the peace of the people, without contriving or attempting anything to inspire trouble or dissension. On the other hand we declare that all those who conduct themselves unfaithfully towards their superiors, and have not a right concern for the public good of the country where they live, demonstrate thereby their infidelity towards God.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lang w:val="en-US" w:eastAsia="zh-TW"/>
      </w:rPr>
    </w:pPr>
    <w:r>
      <w:rPr>
        <w:rFonts w:hint="eastAsia" w:ascii="新細明體" w:hAnsi="新細明體" w:eastAsia="新細明體" w:cs="新細明體"/>
      </w:rPr>
      <w:t>The Confession of Faith</w:t>
    </w:r>
    <w:r>
      <w:rPr>
        <w:rFonts w:hint="eastAsia" w:ascii="新細明體" w:hAnsi="新細明體" w:eastAsia="新細明體" w:cs="新細明體"/>
        <w:lang w:val="en-US" w:eastAsia="zh-TW"/>
      </w:rPr>
      <w:t xml:space="preserve">  Last edited: 11/21/1997</w:t>
    </w:r>
  </w:p>
  <w:p>
    <w:pPr>
      <w:pStyle w:val="3"/>
      <w:jc w:val="center"/>
    </w:pPr>
    <w:r>
      <w:rPr>
        <w:rFonts w:hint="eastAsia" w:ascii="新細明體" w:hAnsi="新細明體" w:eastAsia="新細明體" w:cs="新細明體"/>
      </w:rPr>
      <w:t>https://www.creeds.net/reformed/gnvconf.htm</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50002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2022-11-02T14:39:07Z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582A86449D994BF689AEE8157561DCAF</vt:lpwstr>
  </property>
</Properties>
</file>